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133" w:rsidRPr="00FE1133" w:rsidRDefault="00FE1133" w:rsidP="00FE1133">
      <w:pPr>
        <w:rPr>
          <w:rFonts w:hAnsi="ＭＳ 明朝"/>
          <w:kern w:val="0"/>
          <w:sz w:val="24"/>
        </w:rPr>
      </w:pPr>
      <w:r w:rsidRPr="00FE1133">
        <w:rPr>
          <w:rFonts w:hAnsi="ＭＳ 明朝" w:hint="eastAsia"/>
          <w:kern w:val="0"/>
          <w:sz w:val="20"/>
        </w:rPr>
        <w:t>別紙</w:t>
      </w:r>
      <w:r w:rsidRPr="00FE1133">
        <w:rPr>
          <w:rFonts w:hAnsi="ＭＳ 明朝"/>
          <w:kern w:val="0"/>
          <w:sz w:val="20"/>
        </w:rPr>
        <w:t>(</w:t>
      </w:r>
      <w:r w:rsidRPr="00FE1133">
        <w:rPr>
          <w:rFonts w:hAnsi="ＭＳ 明朝" w:hint="eastAsia"/>
          <w:kern w:val="0"/>
          <w:sz w:val="20"/>
        </w:rPr>
        <w:t>第</w:t>
      </w:r>
      <w:r w:rsidRPr="00FE1133">
        <w:rPr>
          <w:rFonts w:hAnsi="ＭＳ 明朝"/>
          <w:kern w:val="0"/>
          <w:sz w:val="20"/>
        </w:rPr>
        <w:t>13</w:t>
      </w:r>
      <w:r w:rsidRPr="00FE1133">
        <w:rPr>
          <w:rFonts w:hAnsi="ＭＳ 明朝" w:hint="eastAsia"/>
          <w:kern w:val="0"/>
          <w:sz w:val="20"/>
        </w:rPr>
        <w:t>条関係</w:t>
      </w:r>
      <w:r w:rsidRPr="00FE1133">
        <w:rPr>
          <w:rFonts w:hAnsi="ＭＳ 明朝"/>
          <w:kern w:val="0"/>
          <w:sz w:val="20"/>
        </w:rPr>
        <w:t>)</w:t>
      </w:r>
    </w:p>
    <w:p w:rsidR="00FE1133" w:rsidRPr="00FE1133" w:rsidRDefault="00FE1133" w:rsidP="00FE1133">
      <w:pPr>
        <w:wordWrap w:val="0"/>
        <w:autoSpaceDE w:val="0"/>
        <w:autoSpaceDN w:val="0"/>
        <w:adjustRightInd w:val="0"/>
        <w:spacing w:line="320" w:lineRule="atLeast"/>
        <w:ind w:left="400" w:hanging="200"/>
        <w:jc w:val="left"/>
        <w:rPr>
          <w:rFonts w:hAnsi="ＭＳ 明朝"/>
          <w:kern w:val="0"/>
          <w:sz w:val="24"/>
        </w:rPr>
      </w:pPr>
      <w:r w:rsidRPr="00FE1133">
        <w:rPr>
          <w:rFonts w:hAnsi="ＭＳ 明朝"/>
          <w:kern w:val="0"/>
          <w:sz w:val="20"/>
        </w:rPr>
        <w:t>1</w:t>
      </w:r>
      <w:r w:rsidRPr="00FE1133">
        <w:rPr>
          <w:rFonts w:hAnsi="ＭＳ 明朝" w:hint="eastAsia"/>
          <w:kern w:val="0"/>
          <w:sz w:val="20"/>
        </w:rPr>
        <w:t xml:space="preserve">　電線共同溝の改築、維持、修繕、災害復旧及びその他の管理に要する費用は、当該工事等に直接必要な本工事費、附帯工事費、測量及び試験費、補償費、船舶及び機械器具費、営繕宿舎費並びに事務費の合計額に当該電線共同溝の建設に要した額の負担割合を乗じて得た額を道路管理者及び占用者がそれぞれ負担するものとする。ただし、道路管理者は、この規程によることができない場合又は著しく公平を欠くと認められる場合には、占用者の意見を聴取し、別に負担金の額を定めることができる。</w:t>
      </w:r>
    </w:p>
    <w:p w:rsidR="00FE1133" w:rsidRPr="00FE1133" w:rsidRDefault="00FE1133" w:rsidP="00FE1133">
      <w:pPr>
        <w:wordWrap w:val="0"/>
        <w:autoSpaceDE w:val="0"/>
        <w:autoSpaceDN w:val="0"/>
        <w:adjustRightInd w:val="0"/>
        <w:spacing w:line="320" w:lineRule="atLeast"/>
        <w:ind w:left="400" w:hanging="200"/>
        <w:jc w:val="left"/>
        <w:rPr>
          <w:rFonts w:hAnsi="ＭＳ 明朝"/>
          <w:kern w:val="0"/>
          <w:sz w:val="24"/>
        </w:rPr>
      </w:pPr>
      <w:r w:rsidRPr="00FE1133">
        <w:rPr>
          <w:rFonts w:hAnsi="ＭＳ 明朝"/>
          <w:kern w:val="0"/>
          <w:sz w:val="20"/>
        </w:rPr>
        <w:t>2</w:t>
      </w:r>
      <w:r w:rsidRPr="00FE1133">
        <w:rPr>
          <w:rFonts w:hAnsi="ＭＳ 明朝" w:hint="eastAsia"/>
          <w:kern w:val="0"/>
          <w:sz w:val="20"/>
        </w:rPr>
        <w:t xml:space="preserve">　占用者の負担額に円未満の端数が生じたときは、その端数を切り捨てるものとする。</w:t>
      </w:r>
    </w:p>
    <w:p w:rsidR="00FE1133" w:rsidRPr="00FE1133" w:rsidRDefault="00FE1133" w:rsidP="00FE1133">
      <w:pPr>
        <w:wordWrap w:val="0"/>
        <w:autoSpaceDE w:val="0"/>
        <w:autoSpaceDN w:val="0"/>
        <w:adjustRightInd w:val="0"/>
        <w:spacing w:line="320" w:lineRule="atLeast"/>
        <w:ind w:left="400" w:hanging="200"/>
        <w:jc w:val="left"/>
        <w:rPr>
          <w:rFonts w:hAnsi="ＭＳ 明朝"/>
          <w:kern w:val="0"/>
          <w:sz w:val="24"/>
        </w:rPr>
      </w:pPr>
      <w:r w:rsidRPr="00FE1133">
        <w:rPr>
          <w:rFonts w:hAnsi="ＭＳ 明朝"/>
          <w:kern w:val="0"/>
          <w:sz w:val="20"/>
        </w:rPr>
        <w:t>3</w:t>
      </w:r>
      <w:r w:rsidRPr="00FE1133">
        <w:rPr>
          <w:rFonts w:hAnsi="ＭＳ 明朝" w:hint="eastAsia"/>
          <w:kern w:val="0"/>
          <w:sz w:val="20"/>
        </w:rPr>
        <w:t xml:space="preserve">　占用者の負担額は、本工事費、附帯工事費、測量及び試験費、補償費、船舶及び機械器具費、営繕宿舎費及び事務費の合計額とし、そのうち船舶及び機械器具費、営繕宿舎費及び事務費の算出は次のとおりとする。</w:t>
      </w:r>
    </w:p>
    <w:p w:rsidR="00FE1133" w:rsidRPr="00FE1133" w:rsidRDefault="00FE1133" w:rsidP="00FE1133">
      <w:pPr>
        <w:wordWrap w:val="0"/>
        <w:autoSpaceDE w:val="0"/>
        <w:autoSpaceDN w:val="0"/>
        <w:adjustRightInd w:val="0"/>
        <w:spacing w:line="320" w:lineRule="atLeast"/>
        <w:ind w:left="600" w:hanging="200"/>
        <w:jc w:val="left"/>
        <w:rPr>
          <w:rFonts w:hAnsi="ＭＳ 明朝"/>
          <w:kern w:val="0"/>
          <w:sz w:val="24"/>
        </w:rPr>
      </w:pPr>
      <w:r w:rsidRPr="00FE1133">
        <w:rPr>
          <w:rFonts w:hAnsi="ＭＳ 明朝" w:hint="eastAsia"/>
          <w:kern w:val="0"/>
          <w:sz w:val="20"/>
        </w:rPr>
        <w:t>ア　船舶及び機械器具費は、本工事費、附帯工事費、測量及び試験費、補償費の合計額を次表に掲げる基準ごとに区分し、それぞれに各率を乗じて算出加算した額とする。ただし、合計金額が</w:t>
      </w:r>
      <w:r w:rsidRPr="00FE1133">
        <w:rPr>
          <w:rFonts w:hAnsi="ＭＳ 明朝"/>
          <w:kern w:val="0"/>
          <w:sz w:val="20"/>
        </w:rPr>
        <w:t>5,000,000</w:t>
      </w:r>
      <w:r w:rsidRPr="00FE1133">
        <w:rPr>
          <w:rFonts w:hAnsi="ＭＳ 明朝" w:hint="eastAsia"/>
          <w:kern w:val="0"/>
          <w:sz w:val="20"/>
        </w:rPr>
        <w:t>円未満の場合を除く。</w:t>
      </w:r>
    </w:p>
    <w:p w:rsidR="00FE1133" w:rsidRPr="00FE1133" w:rsidRDefault="00FE1133" w:rsidP="00FE1133">
      <w:pPr>
        <w:wordWrap w:val="0"/>
        <w:autoSpaceDE w:val="0"/>
        <w:autoSpaceDN w:val="0"/>
        <w:adjustRightInd w:val="0"/>
        <w:jc w:val="left"/>
        <w:rPr>
          <w:rFonts w:hAnsi="ＭＳ 明朝"/>
          <w:kern w:val="0"/>
          <w:sz w:val="24"/>
        </w:rPr>
      </w:pPr>
    </w:p>
    <w:tbl>
      <w:tblPr>
        <w:tblW w:w="0" w:type="auto"/>
        <w:tblInd w:w="5" w:type="dxa"/>
        <w:tblLayout w:type="fixed"/>
        <w:tblCellMar>
          <w:left w:w="0" w:type="dxa"/>
          <w:right w:w="0" w:type="dxa"/>
        </w:tblCellMar>
        <w:tblLook w:val="0000" w:firstRow="0" w:lastRow="0" w:firstColumn="0" w:lastColumn="0" w:noHBand="0" w:noVBand="0"/>
      </w:tblPr>
      <w:tblGrid>
        <w:gridCol w:w="5782"/>
        <w:gridCol w:w="3856"/>
      </w:tblGrid>
      <w:tr w:rsidR="00FE1133" w:rsidRPr="00FE1133">
        <w:tblPrEx>
          <w:tblCellMar>
            <w:top w:w="0" w:type="dxa"/>
            <w:left w:w="0" w:type="dxa"/>
            <w:bottom w:w="0" w:type="dxa"/>
            <w:right w:w="0" w:type="dxa"/>
          </w:tblCellMar>
        </w:tblPrEx>
        <w:tc>
          <w:tcPr>
            <w:tcW w:w="5782" w:type="dxa"/>
            <w:tcBorders>
              <w:top w:val="single" w:sz="4" w:space="0" w:color="auto"/>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基準額</w:t>
            </w:r>
          </w:p>
        </w:tc>
        <w:tc>
          <w:tcPr>
            <w:tcW w:w="3856" w:type="dxa"/>
            <w:tcBorders>
              <w:top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船舶及び機械器具費の率</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0.8</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円を超え</w:t>
            </w:r>
            <w:r w:rsidRPr="00FE1133">
              <w:rPr>
                <w:rFonts w:hAnsi="ＭＳ 明朝"/>
                <w:kern w:val="0"/>
                <w:sz w:val="20"/>
              </w:rPr>
              <w:t>50,000,000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0.6</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50,000,000</w:t>
            </w:r>
            <w:r w:rsidRPr="00FE1133">
              <w:rPr>
                <w:rFonts w:hAnsi="ＭＳ 明朝" w:hint="eastAsia"/>
                <w:kern w:val="0"/>
                <w:sz w:val="20"/>
              </w:rPr>
              <w:t>円を超え</w:t>
            </w:r>
            <w:r w:rsidRPr="00FE1133">
              <w:rPr>
                <w:rFonts w:hAnsi="ＭＳ 明朝"/>
                <w:kern w:val="0"/>
                <w:sz w:val="20"/>
              </w:rPr>
              <w:t>80,000,000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0.4</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80,000,000</w:t>
            </w:r>
            <w:r w:rsidRPr="00FE1133">
              <w:rPr>
                <w:rFonts w:hAnsi="ＭＳ 明朝" w:hint="eastAsia"/>
                <w:kern w:val="0"/>
                <w:sz w:val="20"/>
              </w:rPr>
              <w:t>円を超える金額</w:t>
            </w:r>
          </w:p>
        </w:tc>
        <w:tc>
          <w:tcPr>
            <w:tcW w:w="3856" w:type="dxa"/>
            <w:tcBorders>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0.2</w:t>
            </w:r>
            <w:r w:rsidRPr="00FE1133">
              <w:rPr>
                <w:rFonts w:hAnsi="ＭＳ 明朝" w:hint="eastAsia"/>
                <w:kern w:val="0"/>
                <w:sz w:val="20"/>
              </w:rPr>
              <w:t>％</w:t>
            </w:r>
          </w:p>
        </w:tc>
      </w:tr>
    </w:tbl>
    <w:p w:rsidR="00FE1133" w:rsidRPr="00FE1133" w:rsidRDefault="00FE1133" w:rsidP="00FE1133">
      <w:pPr>
        <w:wordWrap w:val="0"/>
        <w:autoSpaceDE w:val="0"/>
        <w:autoSpaceDN w:val="0"/>
        <w:adjustRightInd w:val="0"/>
        <w:jc w:val="left"/>
        <w:rPr>
          <w:rFonts w:hAnsi="ＭＳ 明朝"/>
          <w:kern w:val="0"/>
          <w:sz w:val="24"/>
        </w:rPr>
      </w:pPr>
    </w:p>
    <w:p w:rsidR="00FE1133" w:rsidRPr="00FE1133" w:rsidRDefault="00FE1133" w:rsidP="00FE1133">
      <w:pPr>
        <w:wordWrap w:val="0"/>
        <w:autoSpaceDE w:val="0"/>
        <w:autoSpaceDN w:val="0"/>
        <w:adjustRightInd w:val="0"/>
        <w:spacing w:line="320" w:lineRule="atLeast"/>
        <w:ind w:left="600" w:hanging="200"/>
        <w:jc w:val="left"/>
        <w:rPr>
          <w:rFonts w:hAnsi="ＭＳ 明朝"/>
          <w:kern w:val="0"/>
          <w:sz w:val="24"/>
        </w:rPr>
      </w:pPr>
      <w:r w:rsidRPr="00FE1133">
        <w:rPr>
          <w:rFonts w:hAnsi="ＭＳ 明朝" w:hint="eastAsia"/>
          <w:kern w:val="0"/>
          <w:sz w:val="20"/>
        </w:rPr>
        <w:t>イ　営繕宿舎費は、本工事費、附帯工事費、測量及び試験費、補償費、船舶及び機械器具費の合計額を次表に掲げる基準ごとに区分し、それぞれに各率を乗じて算出加算した額とする。ただし、合計金額が</w:t>
      </w:r>
      <w:r w:rsidRPr="00FE1133">
        <w:rPr>
          <w:rFonts w:hAnsi="ＭＳ 明朝"/>
          <w:kern w:val="0"/>
          <w:sz w:val="20"/>
        </w:rPr>
        <w:t>5,000,000</w:t>
      </w:r>
      <w:r w:rsidRPr="00FE1133">
        <w:rPr>
          <w:rFonts w:hAnsi="ＭＳ 明朝" w:hint="eastAsia"/>
          <w:kern w:val="0"/>
          <w:sz w:val="20"/>
        </w:rPr>
        <w:t>円未満又は工期が</w:t>
      </w:r>
      <w:r w:rsidRPr="00FE1133">
        <w:rPr>
          <w:rFonts w:hAnsi="ＭＳ 明朝"/>
          <w:kern w:val="0"/>
          <w:sz w:val="20"/>
        </w:rPr>
        <w:t>100</w:t>
      </w:r>
      <w:r w:rsidRPr="00FE1133">
        <w:rPr>
          <w:rFonts w:hAnsi="ＭＳ 明朝" w:hint="eastAsia"/>
          <w:kern w:val="0"/>
          <w:sz w:val="20"/>
        </w:rPr>
        <w:t>日未満の場合を除く。</w:t>
      </w:r>
    </w:p>
    <w:p w:rsidR="00FE1133" w:rsidRPr="00FE1133" w:rsidRDefault="00FE1133" w:rsidP="00FE1133">
      <w:pPr>
        <w:wordWrap w:val="0"/>
        <w:autoSpaceDE w:val="0"/>
        <w:autoSpaceDN w:val="0"/>
        <w:adjustRightInd w:val="0"/>
        <w:jc w:val="left"/>
        <w:rPr>
          <w:rFonts w:hAnsi="ＭＳ 明朝"/>
          <w:kern w:val="0"/>
          <w:sz w:val="24"/>
        </w:rPr>
      </w:pPr>
    </w:p>
    <w:tbl>
      <w:tblPr>
        <w:tblW w:w="0" w:type="auto"/>
        <w:tblInd w:w="5" w:type="dxa"/>
        <w:tblLayout w:type="fixed"/>
        <w:tblCellMar>
          <w:left w:w="0" w:type="dxa"/>
          <w:right w:w="0" w:type="dxa"/>
        </w:tblCellMar>
        <w:tblLook w:val="0000" w:firstRow="0" w:lastRow="0" w:firstColumn="0" w:lastColumn="0" w:noHBand="0" w:noVBand="0"/>
      </w:tblPr>
      <w:tblGrid>
        <w:gridCol w:w="5782"/>
        <w:gridCol w:w="3856"/>
      </w:tblGrid>
      <w:tr w:rsidR="00FE1133" w:rsidRPr="00FE1133">
        <w:tblPrEx>
          <w:tblCellMar>
            <w:top w:w="0" w:type="dxa"/>
            <w:left w:w="0" w:type="dxa"/>
            <w:bottom w:w="0" w:type="dxa"/>
            <w:right w:w="0" w:type="dxa"/>
          </w:tblCellMar>
        </w:tblPrEx>
        <w:tc>
          <w:tcPr>
            <w:tcW w:w="5782" w:type="dxa"/>
            <w:tcBorders>
              <w:top w:val="single" w:sz="4" w:space="0" w:color="auto"/>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基準額</w:t>
            </w:r>
          </w:p>
        </w:tc>
        <w:tc>
          <w:tcPr>
            <w:tcW w:w="3856" w:type="dxa"/>
            <w:tcBorders>
              <w:top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営繕宿舎費の率</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1.0</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円を超え</w:t>
            </w:r>
            <w:r w:rsidRPr="00FE1133">
              <w:rPr>
                <w:rFonts w:hAnsi="ＭＳ 明朝"/>
                <w:kern w:val="0"/>
                <w:sz w:val="20"/>
              </w:rPr>
              <w:t>50,000,000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0.8</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50,000,000</w:t>
            </w:r>
            <w:r w:rsidRPr="00FE1133">
              <w:rPr>
                <w:rFonts w:hAnsi="ＭＳ 明朝" w:hint="eastAsia"/>
                <w:kern w:val="0"/>
                <w:sz w:val="20"/>
              </w:rPr>
              <w:t>円を超え</w:t>
            </w:r>
            <w:r w:rsidRPr="00FE1133">
              <w:rPr>
                <w:rFonts w:hAnsi="ＭＳ 明朝"/>
                <w:kern w:val="0"/>
                <w:sz w:val="20"/>
              </w:rPr>
              <w:t>80,000,000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0.6</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80,000,000</w:t>
            </w:r>
            <w:r w:rsidRPr="00FE1133">
              <w:rPr>
                <w:rFonts w:hAnsi="ＭＳ 明朝" w:hint="eastAsia"/>
                <w:kern w:val="0"/>
                <w:sz w:val="20"/>
              </w:rPr>
              <w:t>円を超える金額</w:t>
            </w:r>
          </w:p>
        </w:tc>
        <w:tc>
          <w:tcPr>
            <w:tcW w:w="3856" w:type="dxa"/>
            <w:tcBorders>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0.4</w:t>
            </w:r>
            <w:r w:rsidRPr="00FE1133">
              <w:rPr>
                <w:rFonts w:hAnsi="ＭＳ 明朝" w:hint="eastAsia"/>
                <w:kern w:val="0"/>
                <w:sz w:val="20"/>
              </w:rPr>
              <w:t>％</w:t>
            </w:r>
          </w:p>
        </w:tc>
      </w:tr>
    </w:tbl>
    <w:p w:rsidR="00FE1133" w:rsidRPr="00FE1133" w:rsidRDefault="00FE1133" w:rsidP="00FE1133">
      <w:pPr>
        <w:wordWrap w:val="0"/>
        <w:autoSpaceDE w:val="0"/>
        <w:autoSpaceDN w:val="0"/>
        <w:adjustRightInd w:val="0"/>
        <w:jc w:val="left"/>
        <w:rPr>
          <w:rFonts w:hAnsi="ＭＳ 明朝"/>
          <w:kern w:val="0"/>
          <w:sz w:val="24"/>
        </w:rPr>
      </w:pPr>
    </w:p>
    <w:p w:rsidR="00FE1133" w:rsidRPr="00FE1133" w:rsidRDefault="00FE1133" w:rsidP="00FE1133">
      <w:pPr>
        <w:wordWrap w:val="0"/>
        <w:autoSpaceDE w:val="0"/>
        <w:autoSpaceDN w:val="0"/>
        <w:adjustRightInd w:val="0"/>
        <w:spacing w:line="320" w:lineRule="atLeast"/>
        <w:ind w:left="600" w:hanging="200"/>
        <w:jc w:val="left"/>
        <w:rPr>
          <w:rFonts w:hAnsi="ＭＳ 明朝"/>
          <w:kern w:val="0"/>
          <w:sz w:val="24"/>
        </w:rPr>
      </w:pPr>
      <w:r w:rsidRPr="00FE1133">
        <w:rPr>
          <w:rFonts w:hAnsi="ＭＳ 明朝" w:hint="eastAsia"/>
          <w:kern w:val="0"/>
          <w:sz w:val="20"/>
        </w:rPr>
        <w:t>ウ　事務費は、本工事費、附帯工事費、測量及び試験費、補償費、船舶及び機械器具費、営繕宿舎費の合計額を次表に掲げる基準ごとに区分し、それぞれに各率を乗じて算出加算した額とする。</w:t>
      </w:r>
    </w:p>
    <w:p w:rsidR="00FE1133" w:rsidRPr="00FE1133" w:rsidRDefault="00FE1133" w:rsidP="00FE1133">
      <w:pPr>
        <w:wordWrap w:val="0"/>
        <w:autoSpaceDE w:val="0"/>
        <w:autoSpaceDN w:val="0"/>
        <w:adjustRightInd w:val="0"/>
        <w:jc w:val="left"/>
        <w:rPr>
          <w:rFonts w:hAnsi="ＭＳ 明朝"/>
          <w:kern w:val="0"/>
          <w:sz w:val="24"/>
        </w:rPr>
      </w:pPr>
    </w:p>
    <w:tbl>
      <w:tblPr>
        <w:tblW w:w="0" w:type="auto"/>
        <w:tblInd w:w="5" w:type="dxa"/>
        <w:tblLayout w:type="fixed"/>
        <w:tblCellMar>
          <w:left w:w="0" w:type="dxa"/>
          <w:right w:w="0" w:type="dxa"/>
        </w:tblCellMar>
        <w:tblLook w:val="0000" w:firstRow="0" w:lastRow="0" w:firstColumn="0" w:lastColumn="0" w:noHBand="0" w:noVBand="0"/>
      </w:tblPr>
      <w:tblGrid>
        <w:gridCol w:w="5782"/>
        <w:gridCol w:w="3856"/>
      </w:tblGrid>
      <w:tr w:rsidR="00FE1133" w:rsidRPr="00FE1133">
        <w:tblPrEx>
          <w:tblCellMar>
            <w:top w:w="0" w:type="dxa"/>
            <w:left w:w="0" w:type="dxa"/>
            <w:bottom w:w="0" w:type="dxa"/>
            <w:right w:w="0" w:type="dxa"/>
          </w:tblCellMar>
        </w:tblPrEx>
        <w:tc>
          <w:tcPr>
            <w:tcW w:w="5782" w:type="dxa"/>
            <w:tcBorders>
              <w:top w:val="single" w:sz="4" w:space="0" w:color="auto"/>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基準額</w:t>
            </w:r>
          </w:p>
        </w:tc>
        <w:tc>
          <w:tcPr>
            <w:tcW w:w="3856" w:type="dxa"/>
            <w:tcBorders>
              <w:top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jc w:val="center"/>
              <w:rPr>
                <w:rFonts w:hAnsi="ＭＳ 明朝"/>
                <w:kern w:val="0"/>
                <w:sz w:val="24"/>
              </w:rPr>
            </w:pPr>
            <w:r w:rsidRPr="00FE1133">
              <w:rPr>
                <w:rFonts w:hAnsi="ＭＳ 明朝" w:hint="eastAsia"/>
                <w:kern w:val="0"/>
                <w:sz w:val="20"/>
              </w:rPr>
              <w:t>事務費の率</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10</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20,000,000</w:t>
            </w:r>
            <w:r w:rsidRPr="00FE1133">
              <w:rPr>
                <w:rFonts w:hAnsi="ＭＳ 明朝" w:hint="eastAsia"/>
                <w:kern w:val="0"/>
                <w:sz w:val="20"/>
              </w:rPr>
              <w:t>円を超え</w:t>
            </w:r>
            <w:r w:rsidRPr="00FE1133">
              <w:rPr>
                <w:rFonts w:hAnsi="ＭＳ 明朝"/>
                <w:kern w:val="0"/>
                <w:sz w:val="20"/>
              </w:rPr>
              <w:t>50,000,000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8</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50,000,000</w:t>
            </w:r>
            <w:r w:rsidRPr="00FE1133">
              <w:rPr>
                <w:rFonts w:hAnsi="ＭＳ 明朝" w:hint="eastAsia"/>
                <w:kern w:val="0"/>
                <w:sz w:val="20"/>
              </w:rPr>
              <w:t>円を超え</w:t>
            </w:r>
            <w:r w:rsidRPr="00FE1133">
              <w:rPr>
                <w:rFonts w:hAnsi="ＭＳ 明朝"/>
                <w:kern w:val="0"/>
                <w:sz w:val="20"/>
              </w:rPr>
              <w:t>80,000,000</w:t>
            </w:r>
            <w:r w:rsidRPr="00FE1133">
              <w:rPr>
                <w:rFonts w:hAnsi="ＭＳ 明朝" w:hint="eastAsia"/>
                <w:kern w:val="0"/>
                <w:sz w:val="20"/>
              </w:rPr>
              <w:t>円以下の金額</w:t>
            </w:r>
          </w:p>
        </w:tc>
        <w:tc>
          <w:tcPr>
            <w:tcW w:w="3856" w:type="dxa"/>
            <w:tcBorders>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6</w:t>
            </w:r>
            <w:r w:rsidRPr="00FE1133">
              <w:rPr>
                <w:rFonts w:hAnsi="ＭＳ 明朝" w:hint="eastAsia"/>
                <w:kern w:val="0"/>
                <w:sz w:val="20"/>
              </w:rPr>
              <w:t>％</w:t>
            </w:r>
          </w:p>
        </w:tc>
      </w:tr>
      <w:tr w:rsidR="00FE1133" w:rsidRPr="00FE1133">
        <w:tblPrEx>
          <w:tblCellMar>
            <w:top w:w="0" w:type="dxa"/>
            <w:left w:w="0" w:type="dxa"/>
            <w:bottom w:w="0" w:type="dxa"/>
            <w:right w:w="0" w:type="dxa"/>
          </w:tblCellMar>
        </w:tblPrEx>
        <w:tc>
          <w:tcPr>
            <w:tcW w:w="5782" w:type="dxa"/>
            <w:tcBorders>
              <w:left w:val="single" w:sz="4" w:space="0" w:color="auto"/>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80,000,000</w:t>
            </w:r>
            <w:r w:rsidRPr="00FE1133">
              <w:rPr>
                <w:rFonts w:hAnsi="ＭＳ 明朝" w:hint="eastAsia"/>
                <w:kern w:val="0"/>
                <w:sz w:val="20"/>
              </w:rPr>
              <w:t>円を超える金額</w:t>
            </w:r>
          </w:p>
        </w:tc>
        <w:tc>
          <w:tcPr>
            <w:tcW w:w="3856" w:type="dxa"/>
            <w:tcBorders>
              <w:bottom w:val="single" w:sz="4" w:space="0" w:color="auto"/>
              <w:right w:val="single" w:sz="4" w:space="0" w:color="auto"/>
            </w:tcBorders>
          </w:tcPr>
          <w:p w:rsidR="00FE1133" w:rsidRPr="00FE1133" w:rsidRDefault="00FE1133" w:rsidP="00FE1133">
            <w:pPr>
              <w:wordWrap w:val="0"/>
              <w:autoSpaceDE w:val="0"/>
              <w:autoSpaceDN w:val="0"/>
              <w:adjustRightInd w:val="0"/>
              <w:spacing w:before="32" w:after="32" w:line="240" w:lineRule="atLeast"/>
              <w:ind w:left="40"/>
              <w:jc w:val="left"/>
              <w:rPr>
                <w:rFonts w:hAnsi="ＭＳ 明朝"/>
                <w:kern w:val="0"/>
                <w:sz w:val="24"/>
              </w:rPr>
            </w:pPr>
            <w:r w:rsidRPr="00FE1133">
              <w:rPr>
                <w:rFonts w:hAnsi="ＭＳ 明朝"/>
                <w:kern w:val="0"/>
                <w:sz w:val="20"/>
              </w:rPr>
              <w:t>4</w:t>
            </w:r>
            <w:r w:rsidRPr="00FE1133">
              <w:rPr>
                <w:rFonts w:hAnsi="ＭＳ 明朝" w:hint="eastAsia"/>
                <w:kern w:val="0"/>
                <w:sz w:val="20"/>
              </w:rPr>
              <w:t>％</w:t>
            </w:r>
          </w:p>
        </w:tc>
      </w:tr>
    </w:tbl>
    <w:p w:rsidR="00B23F71" w:rsidRPr="00FE1133" w:rsidRDefault="00B23F71">
      <w:pPr>
        <w:rPr>
          <w:rFonts w:hAnsi="ＭＳ 明朝" w:hint="eastAsia"/>
        </w:rPr>
      </w:pPr>
    </w:p>
    <w:sectPr w:rsidR="00B23F71" w:rsidRPr="00FE1133" w:rsidSect="00FE1133">
      <w:pgSz w:w="11906" w:h="16838" w:code="9"/>
      <w:pgMar w:top="1134" w:right="1134" w:bottom="1134" w:left="1134" w:header="851" w:footer="1021"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1E2" w:rsidRDefault="00D541E2" w:rsidP="00D541E2">
      <w:r>
        <w:separator/>
      </w:r>
    </w:p>
  </w:endnote>
  <w:endnote w:type="continuationSeparator" w:id="0">
    <w:p w:rsidR="00D541E2" w:rsidRDefault="00D541E2" w:rsidP="00D5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1E2" w:rsidRDefault="00D541E2" w:rsidP="00D541E2">
      <w:r>
        <w:separator/>
      </w:r>
    </w:p>
  </w:footnote>
  <w:footnote w:type="continuationSeparator" w:id="0">
    <w:p w:rsidR="00D541E2" w:rsidRDefault="00D541E2" w:rsidP="00D54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942"/>
    <w:rsid w:val="00021448"/>
    <w:rsid w:val="00031BCE"/>
    <w:rsid w:val="000A0881"/>
    <w:rsid w:val="00272406"/>
    <w:rsid w:val="002E7BB1"/>
    <w:rsid w:val="00327677"/>
    <w:rsid w:val="00405FDC"/>
    <w:rsid w:val="004B6E9D"/>
    <w:rsid w:val="00504C50"/>
    <w:rsid w:val="005517E6"/>
    <w:rsid w:val="005A630B"/>
    <w:rsid w:val="005C61C2"/>
    <w:rsid w:val="006B4C75"/>
    <w:rsid w:val="006C0AEC"/>
    <w:rsid w:val="007878A6"/>
    <w:rsid w:val="007B2942"/>
    <w:rsid w:val="008D0CCD"/>
    <w:rsid w:val="009A527D"/>
    <w:rsid w:val="00AF19B8"/>
    <w:rsid w:val="00B23F71"/>
    <w:rsid w:val="00B61DB4"/>
    <w:rsid w:val="00C76846"/>
    <w:rsid w:val="00CC5E81"/>
    <w:rsid w:val="00D1573C"/>
    <w:rsid w:val="00D541E2"/>
    <w:rsid w:val="00DB15A4"/>
    <w:rsid w:val="00DD3818"/>
    <w:rsid w:val="00E42C44"/>
    <w:rsid w:val="00F57668"/>
    <w:rsid w:val="00FC1453"/>
    <w:rsid w:val="00FE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DCF4C45-0CD7-4B37-9659-9297394C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133"/>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rsid w:val="005517E6"/>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1"/>
    <w:rsid w:val="005517E6"/>
    <w:pPr>
      <w:wordWrap w:val="0"/>
      <w:autoSpaceDE w:val="0"/>
      <w:autoSpaceDN w:val="0"/>
      <w:adjustRightInd w:val="0"/>
      <w:spacing w:line="210" w:lineRule="exact"/>
      <w:textAlignment w:val="center"/>
    </w:pPr>
    <w:rPr>
      <w:rFonts w:ascii="ＭＳ 明朝" w:cs="Century"/>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Grid 1"/>
    <w:basedOn w:val="a1"/>
    <w:rsid w:val="005517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a5"/>
    <w:uiPriority w:val="99"/>
    <w:unhideWhenUsed/>
    <w:rsid w:val="00D541E2"/>
    <w:pPr>
      <w:tabs>
        <w:tab w:val="center" w:pos="4252"/>
        <w:tab w:val="right" w:pos="8504"/>
      </w:tabs>
      <w:snapToGrid w:val="0"/>
    </w:pPr>
  </w:style>
  <w:style w:type="character" w:customStyle="1" w:styleId="a5">
    <w:name w:val="ヘッダー (文字)"/>
    <w:basedOn w:val="a0"/>
    <w:link w:val="a4"/>
    <w:uiPriority w:val="99"/>
    <w:rsid w:val="00D541E2"/>
    <w:rPr>
      <w:rFonts w:ascii="ＭＳ 明朝"/>
      <w:kern w:val="2"/>
      <w:sz w:val="21"/>
      <w:szCs w:val="21"/>
    </w:rPr>
  </w:style>
  <w:style w:type="paragraph" w:styleId="a6">
    <w:name w:val="footer"/>
    <w:basedOn w:val="a"/>
    <w:link w:val="a7"/>
    <w:uiPriority w:val="99"/>
    <w:unhideWhenUsed/>
    <w:rsid w:val="00D541E2"/>
    <w:pPr>
      <w:tabs>
        <w:tab w:val="center" w:pos="4252"/>
        <w:tab w:val="right" w:pos="8504"/>
      </w:tabs>
      <w:snapToGrid w:val="0"/>
    </w:pPr>
  </w:style>
  <w:style w:type="character" w:customStyle="1" w:styleId="a7">
    <w:name w:val="フッター (文字)"/>
    <w:basedOn w:val="a0"/>
    <w:link w:val="a6"/>
    <w:uiPriority w:val="99"/>
    <w:rsid w:val="00D541E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別紙(第13条関係)</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別紙(第13条関係)</dc:title>
  <dc:subject/>
  <dc:creator> </dc:creator>
  <cp:keywords/>
  <dc:description/>
  <cp:lastModifiedBy>Hidenori Suzuki</cp:lastModifiedBy>
  <cp:revision>2</cp:revision>
  <dcterms:created xsi:type="dcterms:W3CDTF">2025-09-14T02:23:00Z</dcterms:created>
  <dcterms:modified xsi:type="dcterms:W3CDTF">2025-09-14T02:23:00Z</dcterms:modified>
</cp:coreProperties>
</file>