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6D4E" w:rsidRDefault="00696D4E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様式第2号(第7条関係)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"/>
        <w:gridCol w:w="2401"/>
        <w:gridCol w:w="5676"/>
        <w:gridCol w:w="225"/>
      </w:tblGrid>
      <w:tr w:rsidR="00696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9"/>
        </w:trPr>
        <w:tc>
          <w:tcPr>
            <w:tcW w:w="8520" w:type="dxa"/>
            <w:gridSpan w:val="4"/>
            <w:tcBorders>
              <w:bottom w:val="nil"/>
            </w:tcBorders>
          </w:tcPr>
          <w:p w:rsidR="00696D4E" w:rsidRDefault="00696D4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696D4E" w:rsidRDefault="00D259A1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浄化槽施設</w:t>
            </w:r>
            <w:r w:rsidR="00696D4E">
              <w:rPr>
                <w:rFonts w:hint="eastAsia"/>
              </w:rPr>
              <w:t>水洗便所改造資金融資あっせん決定通知書</w:t>
            </w:r>
          </w:p>
          <w:p w:rsidR="00696D4E" w:rsidRDefault="00696D4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696D4E" w:rsidRDefault="00696D4E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第　　　　　号　</w:t>
            </w:r>
          </w:p>
          <w:p w:rsidR="00696D4E" w:rsidRDefault="00696D4E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696D4E" w:rsidRDefault="00696D4E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hint="eastAsia"/>
              </w:rPr>
            </w:pPr>
          </w:p>
          <w:p w:rsidR="00696D4E" w:rsidRDefault="00696D4E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696D4E" w:rsidRDefault="00696D4E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様</w:t>
            </w:r>
          </w:p>
          <w:p w:rsidR="00696D4E" w:rsidRDefault="00696D4E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hint="eastAsia"/>
              </w:rPr>
            </w:pPr>
          </w:p>
          <w:p w:rsidR="00696D4E" w:rsidRDefault="00EC0802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出雲市長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EC0802"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696D4E">
              <w:rPr>
                <w:rFonts w:hint="eastAsia"/>
              </w:rPr>
              <w:t xml:space="preserve">　</w:t>
            </w:r>
          </w:p>
          <w:p w:rsidR="00696D4E" w:rsidRDefault="00696D4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696D4E" w:rsidRDefault="00696D4E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日付けであなたから申請のありました</w:t>
            </w:r>
            <w:r w:rsidR="00D259A1">
              <w:rPr>
                <w:rFonts w:hint="eastAsia"/>
              </w:rPr>
              <w:t>浄化槽施設</w:t>
            </w:r>
            <w:r>
              <w:rPr>
                <w:rFonts w:hint="eastAsia"/>
              </w:rPr>
              <w:t>水洗便所改造資金の融資あっせんについて、下記のとおり決定しましたので通知します。なお融資あっせん承認の場合は、取扱金融機関で貸付けの決定を受けた後、着工予定日から1月以内に工事に着手してください。</w:t>
            </w:r>
          </w:p>
          <w:p w:rsidR="00696D4E" w:rsidRDefault="00696D4E">
            <w:pPr>
              <w:wordWrap w:val="0"/>
              <w:overflowPunct w:val="0"/>
              <w:autoSpaceDE w:val="0"/>
              <w:autoSpaceDN w:val="0"/>
              <w:adjustRightInd w:val="0"/>
              <w:spacing w:after="12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696D4E" w:rsidTr="000464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3"/>
        </w:trPr>
        <w:tc>
          <w:tcPr>
            <w:tcW w:w="218" w:type="dxa"/>
            <w:vMerge w:val="restart"/>
            <w:tcBorders>
              <w:top w:val="nil"/>
            </w:tcBorders>
          </w:tcPr>
          <w:p w:rsidR="00696D4E" w:rsidRDefault="00696D4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D4E" w:rsidRDefault="00696D4E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決定区分</w:t>
            </w:r>
          </w:p>
        </w:tc>
        <w:tc>
          <w:tcPr>
            <w:tcW w:w="5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D4E" w:rsidRDefault="00696D4E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承</w:t>
            </w:r>
            <w:r>
              <w:rPr>
                <w:rFonts w:hint="eastAsia"/>
              </w:rPr>
              <w:t>認　　　　　　　　不承認</w:t>
            </w:r>
          </w:p>
        </w:tc>
        <w:tc>
          <w:tcPr>
            <w:tcW w:w="225" w:type="dxa"/>
            <w:vMerge w:val="restart"/>
            <w:tcBorders>
              <w:top w:val="nil"/>
            </w:tcBorders>
          </w:tcPr>
          <w:p w:rsidR="00696D4E" w:rsidRDefault="00696D4E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96D4E" w:rsidTr="003178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/>
        </w:trPr>
        <w:tc>
          <w:tcPr>
            <w:tcW w:w="218" w:type="dxa"/>
            <w:vMerge/>
          </w:tcPr>
          <w:p w:rsidR="00696D4E" w:rsidRDefault="00696D4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D4E" w:rsidRDefault="00696D4E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不承認の場合の理由</w:t>
            </w:r>
          </w:p>
        </w:tc>
        <w:tc>
          <w:tcPr>
            <w:tcW w:w="5676" w:type="dxa"/>
            <w:tcBorders>
              <w:top w:val="single" w:sz="4" w:space="0" w:color="auto"/>
              <w:bottom w:val="single" w:sz="4" w:space="0" w:color="auto"/>
            </w:tcBorders>
          </w:tcPr>
          <w:p w:rsidR="00696D4E" w:rsidRDefault="00696D4E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</w:tcPr>
          <w:p w:rsidR="00696D4E" w:rsidRDefault="00696D4E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hint="eastAsia"/>
              </w:rPr>
            </w:pPr>
          </w:p>
        </w:tc>
      </w:tr>
      <w:tr w:rsidR="00696D4E" w:rsidTr="003178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91"/>
        </w:trPr>
        <w:tc>
          <w:tcPr>
            <w:tcW w:w="218" w:type="dxa"/>
            <w:vMerge/>
          </w:tcPr>
          <w:p w:rsidR="00696D4E" w:rsidRDefault="00696D4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D4E" w:rsidRDefault="00696D4E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融資あっせん番号</w:t>
            </w:r>
          </w:p>
        </w:tc>
        <w:tc>
          <w:tcPr>
            <w:tcW w:w="5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D4E" w:rsidRDefault="00696D4E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225" w:type="dxa"/>
            <w:vMerge/>
          </w:tcPr>
          <w:p w:rsidR="00696D4E" w:rsidRDefault="00696D4E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hint="eastAsia"/>
              </w:rPr>
            </w:pPr>
          </w:p>
        </w:tc>
      </w:tr>
      <w:tr w:rsidR="00696D4E" w:rsidTr="003178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57"/>
        </w:trPr>
        <w:tc>
          <w:tcPr>
            <w:tcW w:w="218" w:type="dxa"/>
            <w:vMerge/>
          </w:tcPr>
          <w:p w:rsidR="00696D4E" w:rsidRDefault="00696D4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D4E" w:rsidRDefault="00696D4E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融資あっせん額</w:t>
            </w:r>
          </w:p>
        </w:tc>
        <w:tc>
          <w:tcPr>
            <w:tcW w:w="5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D4E" w:rsidRDefault="00696D4E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　　</w:t>
            </w:r>
          </w:p>
        </w:tc>
        <w:tc>
          <w:tcPr>
            <w:tcW w:w="225" w:type="dxa"/>
            <w:vMerge/>
          </w:tcPr>
          <w:p w:rsidR="00696D4E" w:rsidRDefault="00696D4E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hint="eastAsia"/>
              </w:rPr>
            </w:pPr>
          </w:p>
        </w:tc>
      </w:tr>
      <w:tr w:rsidR="00696D4E" w:rsidTr="000464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13"/>
        </w:trPr>
        <w:tc>
          <w:tcPr>
            <w:tcW w:w="218" w:type="dxa"/>
            <w:vMerge/>
          </w:tcPr>
          <w:p w:rsidR="00696D4E" w:rsidRDefault="00696D4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D4E" w:rsidRDefault="00696D4E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着工予定年月日</w:t>
            </w:r>
          </w:p>
        </w:tc>
        <w:tc>
          <w:tcPr>
            <w:tcW w:w="5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D4E" w:rsidRDefault="00696D4E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　月　　　　　日</w:t>
            </w:r>
          </w:p>
        </w:tc>
        <w:tc>
          <w:tcPr>
            <w:tcW w:w="225" w:type="dxa"/>
            <w:vMerge/>
          </w:tcPr>
          <w:p w:rsidR="00696D4E" w:rsidRDefault="00696D4E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hint="eastAsia"/>
              </w:rPr>
            </w:pPr>
          </w:p>
        </w:tc>
      </w:tr>
      <w:tr w:rsidR="00696D4E" w:rsidTr="000464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94"/>
        </w:trPr>
        <w:tc>
          <w:tcPr>
            <w:tcW w:w="218" w:type="dxa"/>
            <w:vMerge/>
            <w:tcBorders>
              <w:bottom w:val="nil"/>
            </w:tcBorders>
          </w:tcPr>
          <w:p w:rsidR="00696D4E" w:rsidRDefault="00696D4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D4E" w:rsidRDefault="00696D4E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完工予定年月日</w:t>
            </w:r>
          </w:p>
        </w:tc>
        <w:tc>
          <w:tcPr>
            <w:tcW w:w="5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D4E" w:rsidRDefault="00696D4E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　月　　　　　日</w:t>
            </w:r>
          </w:p>
        </w:tc>
        <w:tc>
          <w:tcPr>
            <w:tcW w:w="225" w:type="dxa"/>
            <w:vMerge/>
            <w:tcBorders>
              <w:bottom w:val="nil"/>
            </w:tcBorders>
          </w:tcPr>
          <w:p w:rsidR="00696D4E" w:rsidRDefault="00696D4E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hint="eastAsia"/>
              </w:rPr>
            </w:pPr>
          </w:p>
        </w:tc>
      </w:tr>
      <w:tr w:rsidR="00696D4E" w:rsidTr="000464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70"/>
        </w:trPr>
        <w:tc>
          <w:tcPr>
            <w:tcW w:w="8520" w:type="dxa"/>
            <w:gridSpan w:val="4"/>
            <w:tcBorders>
              <w:top w:val="nil"/>
            </w:tcBorders>
          </w:tcPr>
          <w:p w:rsidR="00317875" w:rsidRDefault="00317875" w:rsidP="00317875">
            <w:pPr>
              <w:ind w:firstLineChars="100" w:firstLine="21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１　この処分について不服がある場合</w:t>
            </w:r>
            <w:r w:rsidRPr="00197C85">
              <w:rPr>
                <w:rFonts w:hAnsi="ＭＳ 明朝" w:hint="eastAsia"/>
                <w:szCs w:val="21"/>
              </w:rPr>
              <w:t>は、この</w:t>
            </w:r>
            <w:r>
              <w:rPr>
                <w:rFonts w:hAnsi="ＭＳ 明朝" w:hint="eastAsia"/>
                <w:szCs w:val="21"/>
              </w:rPr>
              <w:t>処分</w:t>
            </w:r>
            <w:r w:rsidRPr="00197C85">
              <w:rPr>
                <w:rFonts w:hAnsi="ＭＳ 明朝" w:hint="eastAsia"/>
                <w:szCs w:val="21"/>
              </w:rPr>
              <w:t>があったことを知った日の翌日か</w:t>
            </w:r>
          </w:p>
          <w:p w:rsidR="00317875" w:rsidRPr="00197C85" w:rsidRDefault="00317875" w:rsidP="00317875">
            <w:pPr>
              <w:ind w:firstLineChars="200" w:firstLine="420"/>
              <w:rPr>
                <w:rFonts w:hAnsi="ＭＳ 明朝" w:hint="eastAsia"/>
                <w:szCs w:val="21"/>
              </w:rPr>
            </w:pPr>
            <w:r w:rsidRPr="00197C85">
              <w:rPr>
                <w:rFonts w:hAnsi="ＭＳ 明朝" w:hint="eastAsia"/>
                <w:szCs w:val="21"/>
              </w:rPr>
              <w:t>ら起算して</w:t>
            </w:r>
            <w:r>
              <w:rPr>
                <w:rFonts w:hAnsi="ＭＳ 明朝" w:hint="eastAsia"/>
                <w:szCs w:val="21"/>
              </w:rPr>
              <w:t>３</w:t>
            </w:r>
            <w:r w:rsidRPr="00197C85">
              <w:rPr>
                <w:rFonts w:hAnsi="ＭＳ 明朝" w:hint="eastAsia"/>
                <w:szCs w:val="21"/>
              </w:rPr>
              <w:t>か月以内に、出雲市長に対して審査請求をすることができます。</w:t>
            </w:r>
          </w:p>
          <w:p w:rsidR="00317875" w:rsidRDefault="00317875" w:rsidP="00317875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２　この処分については、上記１の審査請求のほか、この処分があったことを知った</w:t>
            </w:r>
          </w:p>
          <w:p w:rsidR="00317875" w:rsidRDefault="00317875" w:rsidP="00317875">
            <w:pPr>
              <w:ind w:firstLineChars="200" w:firstLine="42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日の翌日から起算して６か月以内に、出雲市を被告として（訴訟において出雲市を</w:t>
            </w:r>
          </w:p>
          <w:p w:rsidR="00667CC4" w:rsidRDefault="00667CC4" w:rsidP="00667CC4">
            <w:pPr>
              <w:ind w:firstLineChars="200" w:firstLine="42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代表する者は出雲市長となります。）、処分の取</w:t>
            </w:r>
            <w:r w:rsidR="00317875">
              <w:rPr>
                <w:rFonts w:hAnsi="ＭＳ 明朝" w:hint="eastAsia"/>
                <w:szCs w:val="21"/>
              </w:rPr>
              <w:t>消しの訴えを提起することができ</w:t>
            </w:r>
          </w:p>
          <w:p w:rsidR="00317875" w:rsidRDefault="00317875" w:rsidP="00667CC4">
            <w:pPr>
              <w:ind w:firstLineChars="200" w:firstLine="42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ます。</w:t>
            </w:r>
          </w:p>
          <w:p w:rsidR="00317875" w:rsidRDefault="00317875" w:rsidP="00317875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３　ただし、上記の期間が経過する前に、この処分があった日の翌日から起算して１</w:t>
            </w:r>
          </w:p>
          <w:p w:rsidR="00317875" w:rsidRDefault="00317875" w:rsidP="00317875">
            <w:pPr>
              <w:ind w:firstLineChars="200" w:firstLine="42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年を経過した場合は、審査請求をすることや処分の取消しの訴えを提起することは</w:t>
            </w:r>
          </w:p>
          <w:p w:rsidR="00317875" w:rsidRDefault="00317875" w:rsidP="00317875">
            <w:pPr>
              <w:ind w:firstLineChars="200" w:firstLine="42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できなくなります。なお、正当な理由があるときは、上記の期間やこの処分があっ</w:t>
            </w:r>
          </w:p>
          <w:p w:rsidR="00317875" w:rsidRDefault="00317875" w:rsidP="00317875">
            <w:pPr>
              <w:ind w:firstLineChars="200" w:firstLine="42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た日の翌日から起算して１年を経過した後であっても審査請求をすることや処分の</w:t>
            </w:r>
          </w:p>
          <w:p w:rsidR="00317875" w:rsidRPr="00046449" w:rsidRDefault="00317875" w:rsidP="00317875">
            <w:pPr>
              <w:ind w:firstLineChars="200" w:firstLine="42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取消しの訴えを提起することが認められる場合があります。</w:t>
            </w:r>
          </w:p>
          <w:p w:rsidR="00696D4E" w:rsidRPr="00317875" w:rsidRDefault="00696D4E" w:rsidP="00046449">
            <w:pPr>
              <w:ind w:firstLineChars="100" w:firstLine="210"/>
              <w:jc w:val="left"/>
              <w:rPr>
                <w:rFonts w:hAnsi="ＭＳ 明朝" w:hint="eastAsia"/>
                <w:szCs w:val="21"/>
              </w:rPr>
            </w:pPr>
          </w:p>
        </w:tc>
      </w:tr>
    </w:tbl>
    <w:p w:rsidR="00696D4E" w:rsidRDefault="00696D4E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696D4E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0B94" w:rsidRDefault="008D0B94">
      <w:r>
        <w:separator/>
      </w:r>
    </w:p>
  </w:endnote>
  <w:endnote w:type="continuationSeparator" w:id="0">
    <w:p w:rsidR="008D0B94" w:rsidRDefault="008D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0B94" w:rsidRDefault="008D0B94">
      <w:r>
        <w:separator/>
      </w:r>
    </w:p>
  </w:footnote>
  <w:footnote w:type="continuationSeparator" w:id="0">
    <w:p w:rsidR="008D0B94" w:rsidRDefault="008D0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0802"/>
    <w:rsid w:val="00046449"/>
    <w:rsid w:val="00201328"/>
    <w:rsid w:val="00317875"/>
    <w:rsid w:val="00667CC4"/>
    <w:rsid w:val="00696D4E"/>
    <w:rsid w:val="007933DB"/>
    <w:rsid w:val="008D0B94"/>
    <w:rsid w:val="00D259A1"/>
    <w:rsid w:val="00DB1A60"/>
    <w:rsid w:val="00EC0802"/>
    <w:rsid w:val="00F8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36A5FF-B379-4D02-B15D-60E79938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様式第2号(第7条関係)</vt:lpstr>
    </vt:vector>
  </TitlesOfParts>
  <Manager/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2025-09-14T02:36:00Z</dcterms:created>
  <dcterms:modified xsi:type="dcterms:W3CDTF">2025-09-14T02:36:00Z</dcterms:modified>
  <cp:category/>
</cp:coreProperties>
</file>