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80" w:lineRule="exact"/>
        <w:rPr>
          <w:rFonts w:hint="default" w:ascii="ＭＳ 明朝" w:hAnsi="ＭＳ 明朝"/>
          <w:color w:val="auto"/>
        </w:rPr>
      </w:pPr>
      <w:r>
        <w:rPr>
          <w:rFonts w:hint="eastAsia" w:ascii="ＭＳ 明朝" w:hAnsi="ＭＳ 明朝"/>
          <w:color w:val="auto"/>
          <w:spacing w:val="6"/>
        </w:rPr>
        <w:t>様式第</w:t>
      </w:r>
      <w:r>
        <w:rPr>
          <w:rFonts w:hint="eastAsia" w:ascii="ＭＳ 明朝" w:hAnsi="ＭＳ 明朝"/>
          <w:color w:val="auto"/>
          <w:spacing w:val="6"/>
        </w:rPr>
        <w:t>9</w:t>
      </w:r>
      <w:r>
        <w:rPr>
          <w:rFonts w:hint="eastAsia" w:ascii="ＭＳ 明朝" w:hAnsi="ＭＳ 明朝"/>
          <w:color w:val="auto"/>
          <w:spacing w:val="6"/>
        </w:rPr>
        <w:t>号（第</w:t>
      </w:r>
      <w:r>
        <w:rPr>
          <w:rFonts w:hint="eastAsia" w:ascii="ＭＳ 明朝" w:hAnsi="ＭＳ 明朝"/>
          <w:color w:val="auto"/>
          <w:spacing w:val="12"/>
        </w:rPr>
        <w:t>12</w:t>
      </w:r>
      <w:r>
        <w:rPr>
          <w:rFonts w:hint="eastAsia" w:ascii="ＭＳ 明朝" w:hAnsi="ＭＳ 明朝"/>
          <w:color w:val="auto"/>
          <w:spacing w:val="6"/>
        </w:rPr>
        <w:t>条関係）</w:t>
      </w:r>
    </w:p>
    <w:p>
      <w:pPr>
        <w:pStyle w:val="0"/>
        <w:snapToGrid w:val="0"/>
        <w:spacing w:line="280" w:lineRule="exact"/>
        <w:rPr>
          <w:rFonts w:hint="default" w:ascii="ＭＳ 明朝" w:hAnsi="ＭＳ 明朝"/>
          <w:color w:val="auto"/>
        </w:rPr>
      </w:pPr>
    </w:p>
    <w:p>
      <w:pPr>
        <w:pStyle w:val="0"/>
        <w:snapToGrid w:val="0"/>
        <w:spacing w:line="280" w:lineRule="exact"/>
        <w:jc w:val="center"/>
        <w:rPr>
          <w:rFonts w:hint="default" w:ascii="ＭＳ 明朝" w:hAnsi="ＭＳ 明朝"/>
          <w:color w:val="auto"/>
        </w:rPr>
      </w:pPr>
      <w:r>
        <w:rPr>
          <w:rFonts w:hint="eastAsia" w:ascii="ＭＳ 明朝" w:hAnsi="ＭＳ 明朝"/>
          <w:color w:val="auto"/>
        </w:rPr>
        <w:t>認定取消通知書</w:t>
      </w:r>
    </w:p>
    <w:p>
      <w:pPr>
        <w:pStyle w:val="0"/>
        <w:snapToGrid w:val="0"/>
        <w:spacing w:line="280" w:lineRule="exact"/>
        <w:rPr>
          <w:rFonts w:hint="default" w:ascii="ＭＳ 明朝" w:hAnsi="ＭＳ 明朝"/>
          <w:color w:val="auto"/>
        </w:rPr>
      </w:pPr>
    </w:p>
    <w:p>
      <w:pPr>
        <w:pStyle w:val="0"/>
        <w:snapToGrid w:val="0"/>
        <w:spacing w:line="28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第　　　　号　</w:t>
      </w:r>
    </w:p>
    <w:p>
      <w:pPr>
        <w:pStyle w:val="0"/>
        <w:snapToGrid w:val="0"/>
        <w:spacing w:line="28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　年　月　日　</w:t>
      </w:r>
    </w:p>
    <w:p>
      <w:pPr>
        <w:pStyle w:val="0"/>
        <w:snapToGrid w:val="0"/>
        <w:spacing w:line="280" w:lineRule="exact"/>
        <w:rPr>
          <w:rFonts w:hint="default" w:ascii="ＭＳ 明朝" w:hAnsi="ＭＳ 明朝"/>
          <w:color w:val="auto"/>
        </w:rPr>
      </w:pPr>
    </w:p>
    <w:p>
      <w:pPr>
        <w:pStyle w:val="0"/>
        <w:snapToGrid w:val="0"/>
        <w:spacing w:line="280" w:lineRule="exact"/>
        <w:jc w:val="left"/>
        <w:rPr>
          <w:rFonts w:hint="default" w:ascii="ＭＳ 明朝" w:hAnsi="ＭＳ 明朝"/>
          <w:color w:val="auto"/>
        </w:rPr>
      </w:pPr>
      <w:r>
        <w:rPr>
          <w:rFonts w:hint="eastAsia"/>
          <w:color w:val="auto"/>
          <w:spacing w:val="6"/>
        </w:rPr>
        <w:t>　</w:t>
      </w:r>
      <w:r>
        <w:rPr>
          <w:rFonts w:hint="eastAsia" w:ascii="ＭＳ 明朝" w:hAnsi="ＭＳ 明朝"/>
          <w:color w:val="auto"/>
        </w:rPr>
        <w:t>認定建築主</w:t>
      </w:r>
      <w:r>
        <w:rPr>
          <w:rFonts w:hint="eastAsia"/>
          <w:color w:val="auto"/>
          <w:spacing w:val="6"/>
        </w:rPr>
        <w:t>　　　　　　　　　様</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p>
    <w:p>
      <w:pPr>
        <w:pStyle w:val="0"/>
        <w:snapToGrid w:val="0"/>
        <w:spacing w:line="28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出雲市長　　　　　　　　　　　</w:t>
      </w:r>
      <w:r>
        <w:rPr>
          <w:rFonts w:hint="eastAsia"/>
          <w:color w:val="auto"/>
        </w:rPr>
        <w:t xml:space="preserve"> </w:t>
      </w:r>
      <w:r>
        <w:rPr>
          <w:rFonts w:hint="eastAsia"/>
          <w:color w:val="auto"/>
        </w:rPr>
        <w:t>印</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color w:val="auto"/>
        </w:rPr>
        <w:t>　下記の認定建築物エネルギー消費性能向上計画</w:t>
      </w:r>
      <w:bookmarkStart w:id="0" w:name="_GoBack"/>
      <w:bookmarkEnd w:id="0"/>
      <w:r>
        <w:rPr>
          <w:rFonts w:hint="eastAsia"/>
          <w:color w:val="auto"/>
        </w:rPr>
        <w:t>については、建築物のエネルギー消費性能の向上等に関する</w:t>
      </w:r>
      <w:r>
        <w:rPr>
          <w:rFonts w:hint="eastAsia" w:ascii="ＭＳ 明朝" w:hAnsi="ＭＳ 明朝"/>
          <w:color w:val="auto"/>
        </w:rPr>
        <w:t>法律第</w:t>
      </w:r>
      <w:r>
        <w:rPr>
          <w:rFonts w:hint="eastAsia" w:ascii="ＭＳ 明朝" w:hAnsi="ＭＳ 明朝"/>
          <w:color w:val="auto"/>
        </w:rPr>
        <w:t>34</w:t>
      </w:r>
      <w:r>
        <w:rPr>
          <w:rFonts w:hint="eastAsia" w:ascii="ＭＳ 明朝" w:hAnsi="ＭＳ 明朝"/>
          <w:color w:val="auto"/>
        </w:rPr>
        <w:t>条の規定により、当該</w:t>
      </w:r>
      <w:r>
        <w:rPr>
          <w:rFonts w:hint="eastAsia"/>
          <w:color w:val="auto"/>
        </w:rPr>
        <w:t>認定を取り消しましたので、通知します。（これにより、認定は認定当初から無効となります。）</w:t>
      </w:r>
    </w:p>
    <w:p>
      <w:pPr>
        <w:pStyle w:val="0"/>
        <w:snapToGrid w:val="0"/>
        <w:spacing w:line="280" w:lineRule="exact"/>
        <w:rPr>
          <w:rFonts w:hint="default" w:ascii="ＭＳ 明朝" w:hAnsi="ＭＳ 明朝"/>
          <w:color w:val="auto"/>
        </w:rPr>
      </w:pPr>
      <w:r>
        <w:rPr>
          <w:rFonts w:hint="eastAsia" w:ascii="ＭＳ 明朝" w:hAnsi="ＭＳ 明朝"/>
          <w:color w:val="auto"/>
        </w:rPr>
        <w:t>　なお、この処分について不服があるときは、この通知を受けた日の翌日から起算して</w:t>
      </w:r>
      <w:r>
        <w:rPr>
          <w:rFonts w:hint="eastAsia" w:ascii="ＭＳ 明朝" w:hAnsi="ＭＳ 明朝"/>
          <w:color w:val="auto"/>
        </w:rPr>
        <w:t>3</w:t>
      </w:r>
      <w:r>
        <w:rPr>
          <w:rFonts w:hint="eastAsia" w:ascii="ＭＳ 明朝" w:hAnsi="ＭＳ 明朝"/>
          <w:color w:val="auto"/>
        </w:rPr>
        <w:t>か月以内に、出雲市長に対して審査請求をすることができます。</w:t>
      </w:r>
    </w:p>
    <w:p>
      <w:pPr>
        <w:pStyle w:val="0"/>
        <w:snapToGrid w:val="0"/>
        <w:spacing w:line="280" w:lineRule="exact"/>
        <w:jc w:val="left"/>
        <w:rPr>
          <w:rFonts w:hint="default" w:ascii="ＭＳ 明朝" w:hAnsi="ＭＳ 明朝"/>
          <w:color w:val="auto"/>
        </w:rPr>
      </w:pPr>
      <w:r>
        <w:rPr>
          <w:rFonts w:hint="eastAsia" w:ascii="ＭＳ 明朝" w:hAnsi="ＭＳ 明朝"/>
          <w:color w:val="auto"/>
        </w:rPr>
        <w:t>　また、この通知を受けた日の翌日から起算して</w:t>
      </w:r>
      <w:r>
        <w:rPr>
          <w:rFonts w:hint="eastAsia" w:ascii="ＭＳ 明朝" w:hAnsi="ＭＳ 明朝"/>
          <w:color w:val="auto"/>
        </w:rPr>
        <w:t>6</w:t>
      </w:r>
      <w:r>
        <w:rPr>
          <w:rFonts w:hint="eastAsia" w:ascii="ＭＳ 明朝" w:hAnsi="ＭＳ 明朝"/>
          <w:color w:val="auto"/>
        </w:rPr>
        <w:t>か月以内（適法な審査請求をした場合には、その審査請求に対する裁決の送達を受けた日の翌日から起算して</w:t>
      </w:r>
      <w:r>
        <w:rPr>
          <w:rFonts w:hint="eastAsia" w:ascii="ＭＳ 明朝" w:hAnsi="ＭＳ 明朝"/>
          <w:color w:val="auto"/>
        </w:rPr>
        <w:t>6</w:t>
      </w:r>
      <w:r>
        <w:rPr>
          <w:rFonts w:hint="eastAsia" w:ascii="ＭＳ 明朝" w:hAnsi="ＭＳ 明朝"/>
          <w:color w:val="auto"/>
        </w:rPr>
        <w:t>か月以内）に、出雲市（訴訟において出雲市を代表する者は出雲市長となります。）を被告として、処分の取消しの訴えを提起することもできます。</w:t>
      </w:r>
    </w:p>
    <w:p>
      <w:pPr>
        <w:pStyle w:val="0"/>
        <w:snapToGrid w:val="0"/>
        <w:spacing w:line="320" w:lineRule="exact"/>
        <w:jc w:val="left"/>
        <w:rPr>
          <w:rFonts w:hint="default" w:ascii="ＭＳ 明朝" w:hAnsi="ＭＳ 明朝"/>
          <w:color w:val="auto"/>
        </w:rPr>
      </w:pPr>
      <w:r>
        <w:rPr>
          <w:rFonts w:hint="eastAsia" w:ascii="ＭＳ 明朝" w:hAnsi="ＭＳ 明朝"/>
          <w:color w:val="auto"/>
        </w:rPr>
        <w:t>　ただし、上記の期間が経過する前に、この処分があった日の翌日から起算して</w:t>
      </w:r>
      <w:r>
        <w:rPr>
          <w:rFonts w:hint="eastAsia" w:ascii="ＭＳ 明朝" w:hAnsi="ＭＳ 明朝"/>
          <w:color w:val="auto"/>
        </w:rPr>
        <w:t>1</w:t>
      </w:r>
      <w:r>
        <w:rPr>
          <w:rFonts w:hint="eastAsia" w:ascii="ＭＳ 明朝" w:hAnsi="ＭＳ 明朝"/>
          <w:color w:val="auto"/>
        </w:rPr>
        <w:t>年を経過した場合は、審査請求をすることや処分の取消しの訴えを提起することはできなくなります。なお、正当な理由があるときは、上記の期間やこの処分があった日の翌日から起算して</w:t>
      </w:r>
      <w:r>
        <w:rPr>
          <w:rFonts w:hint="eastAsia" w:ascii="ＭＳ 明朝" w:hAnsi="ＭＳ 明朝"/>
          <w:color w:val="auto"/>
        </w:rPr>
        <w:t>1</w:t>
      </w:r>
      <w:r>
        <w:rPr>
          <w:rFonts w:hint="eastAsia" w:ascii="ＭＳ 明朝" w:hAnsi="ＭＳ 明朝"/>
          <w:color w:val="auto"/>
        </w:rPr>
        <w:t>年を経過した後であっても審査請求をすることや処分の取消しの訴えを提起することが認められる場合があります。</w:t>
      </w:r>
    </w:p>
    <w:p>
      <w:pPr>
        <w:pStyle w:val="0"/>
        <w:snapToGrid w:val="0"/>
        <w:spacing w:line="280" w:lineRule="exact"/>
        <w:rPr>
          <w:rFonts w:hint="default" w:ascii="ＭＳ 明朝" w:hAnsi="ＭＳ 明朝"/>
          <w:color w:val="auto"/>
        </w:rPr>
      </w:pPr>
    </w:p>
    <w:p>
      <w:pPr>
        <w:pStyle w:val="0"/>
        <w:snapToGrid w:val="0"/>
        <w:spacing w:line="280" w:lineRule="exact"/>
        <w:jc w:val="center"/>
        <w:rPr>
          <w:rFonts w:hint="default" w:ascii="ＭＳ 明朝" w:hAnsi="ＭＳ 明朝"/>
          <w:color w:val="auto"/>
        </w:rPr>
      </w:pPr>
      <w:r>
        <w:rPr>
          <w:rFonts w:hint="eastAsia"/>
          <w:color w:val="auto"/>
        </w:rPr>
        <w:t>記</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認定番号</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認定年月日</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認定に係る建築物の位置</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認定建築主の氏名　</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ascii="ＭＳ 明朝" w:hAnsi="ＭＳ 明朝"/>
          <w:color w:val="auto"/>
        </w:rPr>
        <w:t>5</w:t>
      </w:r>
      <w:r>
        <w:rPr>
          <w:rFonts w:hint="eastAsia" w:ascii="ＭＳ 明朝" w:hAnsi="ＭＳ 明朝"/>
          <w:color w:val="auto"/>
        </w:rPr>
        <w:t>　認定建築主の住所</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asciiTheme="minorEastAsia" w:hAnsiTheme="minorEastAsia" w:eastAsiaTheme="minorEastAsia"/>
          <w:color w:val="auto"/>
        </w:rPr>
        <w:t>6</w:t>
      </w:r>
      <w:r>
        <w:rPr>
          <w:rFonts w:hint="eastAsia" w:ascii="ＭＳ 明朝" w:hAnsi="ＭＳ 明朝"/>
          <w:color w:val="auto"/>
        </w:rPr>
        <w:t>(</w:t>
      </w:r>
      <w:r>
        <w:rPr>
          <w:rFonts w:hint="eastAsia"/>
          <w:color w:val="auto"/>
        </w:rPr>
        <w:t>※</w:t>
      </w:r>
      <w:r>
        <w:rPr>
          <w:rFonts w:hint="eastAsia" w:ascii="ＭＳ 明朝" w:hAnsi="ＭＳ 明朝"/>
          <w:color w:val="auto"/>
        </w:rPr>
        <w:t>)</w:t>
      </w:r>
      <w:r>
        <w:rPr>
          <w:rFonts w:hint="eastAsia"/>
          <w:color w:val="auto"/>
        </w:rPr>
        <w:t>　確認番号</w:t>
      </w:r>
    </w:p>
    <w:p>
      <w:pPr>
        <w:pStyle w:val="0"/>
        <w:snapToGrid w:val="0"/>
        <w:spacing w:line="280" w:lineRule="exac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確認年月日</w:t>
      </w:r>
    </w:p>
    <w:p>
      <w:pPr>
        <w:pStyle w:val="0"/>
        <w:snapToGrid w:val="0"/>
        <w:spacing w:line="280" w:lineRule="exac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　　建築主事の氏名</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r>
        <w:rPr>
          <w:rFonts w:hint="eastAsia" w:asciiTheme="minorEastAsia" w:hAnsiTheme="minorEastAsia" w:eastAsiaTheme="minorEastAsia"/>
          <w:color w:val="auto"/>
        </w:rPr>
        <w:t>7</w:t>
      </w:r>
      <w:r>
        <w:rPr>
          <w:rFonts w:hint="eastAsia"/>
          <w:color w:val="auto"/>
        </w:rPr>
        <w:t>　理由</w:t>
      </w:r>
    </w:p>
    <w:p>
      <w:pPr>
        <w:pStyle w:val="0"/>
        <w:snapToGrid w:val="0"/>
        <w:spacing w:line="280" w:lineRule="exact"/>
        <w:rPr>
          <w:rFonts w:hint="default" w:ascii="ＭＳ 明朝" w:hAnsi="ＭＳ 明朝"/>
          <w:color w:val="auto"/>
        </w:rPr>
      </w:pPr>
    </w:p>
    <w:p>
      <w:pPr>
        <w:pStyle w:val="0"/>
        <w:snapToGrid w:val="0"/>
        <w:spacing w:line="280" w:lineRule="exact"/>
        <w:rPr>
          <w:rFonts w:hint="default" w:ascii="ＭＳ 明朝" w:hAnsi="ＭＳ 明朝"/>
          <w:color w:val="auto"/>
        </w:rPr>
      </w:pPr>
    </w:p>
    <w:p>
      <w:pPr>
        <w:pStyle w:val="0"/>
        <w:snapToGrid w:val="0"/>
        <w:spacing w:line="280" w:lineRule="exact"/>
        <w:ind w:left="210" w:hanging="210" w:hanging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は法第</w:t>
      </w:r>
      <w:r>
        <w:rPr>
          <w:rFonts w:hint="eastAsia" w:ascii="ＭＳ 明朝" w:hAnsi="ＭＳ 明朝"/>
          <w:color w:val="auto"/>
        </w:rPr>
        <w:t>30</w:t>
      </w:r>
      <w:r>
        <w:rPr>
          <w:rFonts w:hint="eastAsia" w:ascii="ＭＳ 明朝" w:hAnsi="ＭＳ 明朝"/>
          <w:color w:val="auto"/>
        </w:rPr>
        <w:t>条第</w:t>
      </w:r>
      <w:r>
        <w:rPr>
          <w:rFonts w:hint="eastAsia" w:ascii="ＭＳ 明朝" w:hAnsi="ＭＳ 明朝"/>
          <w:color w:val="auto"/>
        </w:rPr>
        <w:t>4</w:t>
      </w:r>
      <w:r>
        <w:rPr>
          <w:rFonts w:hint="eastAsia" w:ascii="ＭＳ 明朝" w:hAnsi="ＭＳ 明朝"/>
          <w:color w:val="auto"/>
        </w:rPr>
        <w:t>項において準用する建築基準法（昭和</w:t>
      </w:r>
      <w:r>
        <w:rPr>
          <w:rFonts w:hint="eastAsia" w:ascii="ＭＳ 明朝" w:hAnsi="ＭＳ 明朝"/>
          <w:color w:val="auto"/>
        </w:rPr>
        <w:t>25</w:t>
      </w:r>
      <w:r>
        <w:rPr>
          <w:rFonts w:hint="eastAsia" w:ascii="ＭＳ 明朝" w:hAnsi="ＭＳ 明朝"/>
          <w:color w:val="auto"/>
        </w:rPr>
        <w:t>年法律第</w:t>
      </w:r>
      <w:r>
        <w:rPr>
          <w:rFonts w:hint="eastAsia" w:ascii="ＭＳ 明朝" w:hAnsi="ＭＳ 明朝"/>
          <w:color w:val="auto"/>
        </w:rPr>
        <w:t>201</w:t>
      </w:r>
      <w:r>
        <w:rPr>
          <w:rFonts w:hint="eastAsia" w:ascii="ＭＳ 明朝" w:hAnsi="ＭＳ 明朝"/>
          <w:color w:val="auto"/>
        </w:rPr>
        <w:t>号）第</w:t>
      </w:r>
      <w:r>
        <w:rPr>
          <w:rFonts w:hint="eastAsia" w:ascii="ＭＳ 明朝" w:hAnsi="ＭＳ 明朝"/>
          <w:color w:val="auto"/>
        </w:rPr>
        <w:t>18</w:t>
      </w:r>
      <w:r>
        <w:rPr>
          <w:rFonts w:hint="eastAsia" w:ascii="ＭＳ 明朝" w:hAnsi="ＭＳ 明朝"/>
          <w:color w:val="auto"/>
        </w:rPr>
        <w:t>条第</w:t>
      </w:r>
      <w:r>
        <w:rPr>
          <w:rFonts w:hint="eastAsia" w:ascii="ＭＳ 明朝" w:hAnsi="ＭＳ 明朝"/>
          <w:color w:val="auto"/>
        </w:rPr>
        <w:t>3</w:t>
      </w:r>
      <w:r>
        <w:rPr>
          <w:rFonts w:hint="eastAsia" w:ascii="ＭＳ 明朝" w:hAnsi="ＭＳ 明朝"/>
          <w:color w:val="auto"/>
        </w:rPr>
        <w:t>項の規定により市長が確認済証の交付を受けた場合に記入されます。</w:t>
      </w:r>
    </w:p>
    <w:sectPr>
      <w:pgSz w:w="11906" w:h="16838"/>
      <w:pgMar w:top="1474" w:right="1588"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21</Words>
  <Characters>676</Characters>
  <Application>JUST Note</Application>
  <Lines>49</Lines>
  <Paragraphs>21</Paragraphs>
  <CharactersWithSpaces>878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2016-04-13T01:15:00Z</cp:lastPrinted>
  <dcterms:created xsi:type="dcterms:W3CDTF">2025-03-18T01:37:00Z</dcterms:created>
  <dcterms:modified xsi:type="dcterms:W3CDTF">2008-01-27T17:29:50Z</dcterms:modified>
  <cp:revision>2</cp:revision>
</cp:coreProperties>
</file>