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275" w:rsidRDefault="00114275" w:rsidP="0011427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交際費の支出に関する公文書の公開基準</w:t>
      </w:r>
    </w:p>
    <w:p w:rsidR="00114275" w:rsidRDefault="00114275" w:rsidP="0011427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542"/>
        <w:gridCol w:w="1047"/>
        <w:gridCol w:w="1270"/>
        <w:gridCol w:w="1270"/>
        <w:gridCol w:w="1270"/>
        <w:gridCol w:w="1270"/>
        <w:gridCol w:w="1270"/>
      </w:tblGrid>
      <w:tr w:rsidR="00114275">
        <w:trPr>
          <w:cantSplit/>
          <w:trHeight w:val="465"/>
        </w:trPr>
        <w:tc>
          <w:tcPr>
            <w:tcW w:w="2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75" w:rsidRDefault="00114275" w:rsidP="00114275">
            <w:pPr>
              <w:ind w:firstLineChars="200" w:firstLine="507"/>
            </w:pPr>
            <w:r>
              <w:rPr>
                <w:rFonts w:hint="eastAsia"/>
              </w:rPr>
              <w:t>経費区分</w:t>
            </w:r>
          </w:p>
          <w:p w:rsidR="00114275" w:rsidRDefault="00114275" w:rsidP="00114275">
            <w:pPr>
              <w:ind w:firstLineChars="794" w:firstLine="2014"/>
            </w:pPr>
            <w:r>
              <w:rPr>
                <w:rFonts w:hint="eastAsia"/>
              </w:rPr>
              <w:t xml:space="preserve">　記載内容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75" w:rsidRDefault="00114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慶弔・見舞い・祝い金に関する経費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会費・負担金・賛助金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会食費・懇親会費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贈呈等に関する経費（餞別・お土産等）</w:t>
            </w:r>
          </w:p>
        </w:tc>
      </w:tr>
      <w:tr w:rsidR="00114275">
        <w:trPr>
          <w:cantSplit/>
          <w:trHeight w:val="46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供花・香典（生花）・祝儀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見舞い（生花）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114275">
        <w:trPr>
          <w:trHeight w:val="690"/>
        </w:trPr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75" w:rsidRDefault="00114275">
            <w:r>
              <w:rPr>
                <w:rFonts w:hint="eastAsia"/>
              </w:rPr>
              <w:t xml:space="preserve">　用務名</w:t>
            </w:r>
          </w:p>
          <w:p w:rsidR="00114275" w:rsidRDefault="0011427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（件名、品名）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</w:tr>
      <w:tr w:rsidR="00114275">
        <w:trPr>
          <w:trHeight w:val="625"/>
        </w:trPr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75" w:rsidRDefault="00114275">
            <w:r>
              <w:rPr>
                <w:rFonts w:hint="eastAsia"/>
              </w:rPr>
              <w:t xml:space="preserve">　日時</w:t>
            </w:r>
          </w:p>
          <w:p w:rsidR="00114275" w:rsidRDefault="0011427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（出張期間）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</w:tr>
      <w:tr w:rsidR="00114275"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75" w:rsidRDefault="00114275">
            <w:r>
              <w:rPr>
                <w:rFonts w:hint="eastAsia"/>
              </w:rPr>
              <w:t xml:space="preserve">　場所</w:t>
            </w:r>
          </w:p>
          <w:p w:rsidR="00114275" w:rsidRDefault="0011427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（出張地）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114275">
        <w:trPr>
          <w:cantSplit/>
          <w:trHeight w:val="40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4275" w:rsidRDefault="00114275">
            <w:pPr>
              <w:ind w:left="113" w:right="113"/>
              <w:jc w:val="center"/>
            </w:pPr>
            <w:r>
              <w:rPr>
                <w:rFonts w:hint="eastAsia"/>
              </w:rPr>
              <w:t>出席者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4275" w:rsidRDefault="00114275">
            <w:pPr>
              <w:ind w:left="113" w:right="113"/>
              <w:jc w:val="center"/>
            </w:pPr>
            <w:r>
              <w:rPr>
                <w:rFonts w:hint="eastAsia"/>
              </w:rPr>
              <w:t>市側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114275">
        <w:trPr>
          <w:cantSplit/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114275">
        <w:trPr>
          <w:cantSplit/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114275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4275" w:rsidRDefault="00114275">
            <w:pPr>
              <w:ind w:left="113" w:right="113"/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75" w:rsidRDefault="00114275">
            <w:r>
              <w:rPr>
                <w:rFonts w:hint="eastAsia"/>
              </w:rPr>
              <w:t>団体名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</w:tr>
      <w:tr w:rsidR="00114275">
        <w:trPr>
          <w:cantSplit/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</w:tr>
      <w:tr w:rsidR="00114275">
        <w:trPr>
          <w:cantSplit/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</w:tr>
      <w:tr w:rsidR="00114275">
        <w:trPr>
          <w:cantSplit/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</w:tr>
      <w:tr w:rsidR="00114275">
        <w:trPr>
          <w:trHeight w:val="408"/>
        </w:trPr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</w:tr>
      <w:tr w:rsidR="00114275"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支出内訳　　（支出金額等）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</w:tr>
      <w:tr w:rsidR="00114275">
        <w:trPr>
          <w:trHeight w:val="560"/>
        </w:trPr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支出先</w:t>
            </w:r>
          </w:p>
          <w:p w:rsidR="00114275" w:rsidRDefault="00114275">
            <w:pPr>
              <w:jc w:val="center"/>
            </w:pPr>
            <w:r>
              <w:rPr>
                <w:rFonts w:hint="eastAsia"/>
              </w:rPr>
              <w:t>（債権者）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原則公開</w:t>
            </w:r>
          </w:p>
        </w:tc>
      </w:tr>
      <w:tr w:rsidR="00114275"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債権者の振込先金融機関・口座番号等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75" w:rsidRDefault="00114275">
            <w:pPr>
              <w:jc w:val="center"/>
            </w:pPr>
            <w:r>
              <w:rPr>
                <w:rFonts w:hint="eastAsia"/>
              </w:rPr>
              <w:t>非公開</w:t>
            </w:r>
          </w:p>
        </w:tc>
      </w:tr>
    </w:tbl>
    <w:p w:rsidR="00114275" w:rsidRDefault="00114275">
      <w:pPr>
        <w:rPr>
          <w:rFonts w:hint="eastAsia"/>
        </w:rPr>
      </w:pPr>
    </w:p>
    <w:p w:rsidR="00114275" w:rsidRDefault="00114275">
      <w:pPr>
        <w:rPr>
          <w:rFonts w:hint="eastAsia"/>
        </w:rPr>
      </w:pPr>
    </w:p>
    <w:p w:rsidR="00114275" w:rsidRDefault="00114275">
      <w:pPr>
        <w:rPr>
          <w:rFonts w:hint="eastAsia"/>
        </w:rPr>
      </w:pPr>
    </w:p>
    <w:p w:rsidR="00114275" w:rsidRDefault="00114275">
      <w:pPr>
        <w:rPr>
          <w:rFonts w:hint="eastAsia"/>
        </w:rPr>
      </w:pPr>
    </w:p>
    <w:p w:rsidR="00114275" w:rsidRDefault="00114275">
      <w:pPr>
        <w:rPr>
          <w:rFonts w:hint="eastAsia"/>
        </w:rPr>
      </w:pPr>
    </w:p>
    <w:p w:rsidR="00114275" w:rsidRDefault="00114275">
      <w:pPr>
        <w:rPr>
          <w:rFonts w:hint="eastAsia"/>
        </w:rPr>
      </w:pPr>
    </w:p>
    <w:p w:rsidR="00114275" w:rsidRDefault="00114275">
      <w:pPr>
        <w:rPr>
          <w:rFonts w:hint="eastAsia"/>
        </w:rPr>
      </w:pPr>
    </w:p>
    <w:p w:rsidR="00114275" w:rsidRDefault="00114275">
      <w:pPr>
        <w:rPr>
          <w:rFonts w:hint="eastAsia"/>
        </w:rPr>
      </w:pPr>
    </w:p>
    <w:p w:rsidR="00114275" w:rsidRDefault="00114275">
      <w:pPr>
        <w:rPr>
          <w:rFonts w:hint="eastAsia"/>
        </w:rPr>
      </w:pPr>
    </w:p>
    <w:sectPr w:rsidR="00114275">
      <w:pgSz w:w="11906" w:h="16838" w:code="9"/>
      <w:pgMar w:top="1588" w:right="1247" w:bottom="1531" w:left="1588" w:header="851" w:footer="992" w:gutter="0"/>
      <w:cols w:space="425"/>
      <w:docGrid w:type="linesAndChars" w:linePitch="411" w:charSpace="2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82C" w:rsidRDefault="001B782C" w:rsidP="001B782C">
      <w:r>
        <w:separator/>
      </w:r>
    </w:p>
  </w:endnote>
  <w:endnote w:type="continuationSeparator" w:id="0">
    <w:p w:rsidR="001B782C" w:rsidRDefault="001B782C" w:rsidP="001B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82C" w:rsidRDefault="001B782C" w:rsidP="001B782C">
      <w:r>
        <w:separator/>
      </w:r>
    </w:p>
  </w:footnote>
  <w:footnote w:type="continuationSeparator" w:id="0">
    <w:p w:rsidR="001B782C" w:rsidRDefault="001B782C" w:rsidP="001B7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4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275"/>
    <w:rsid w:val="00114275"/>
    <w:rsid w:val="001B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348FCA-C9DA-45D5-B612-6DA681FA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B7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82C"/>
    <w:rPr>
      <w:rFonts w:ascii="ＭＳ 明朝"/>
      <w:sz w:val="24"/>
    </w:rPr>
  </w:style>
  <w:style w:type="paragraph" w:styleId="a5">
    <w:name w:val="footer"/>
    <w:basedOn w:val="a"/>
    <w:link w:val="a6"/>
    <w:uiPriority w:val="99"/>
    <w:unhideWhenUsed/>
    <w:rsid w:val="001B7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82C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交際費の支出に関する公文書の公開基準</vt:lpstr>
    </vt:vector>
  </TitlesOfParts>
  <Company>情報システム課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交際費の支出に関する公文書の公開基準</dc:title>
  <dc:subject/>
  <dc:creator>w1300e</dc:creator>
  <cp:keywords/>
  <dc:description/>
  <cp:lastModifiedBy>Hidenori Suzuki</cp:lastModifiedBy>
  <cp:revision>2</cp:revision>
  <dcterms:created xsi:type="dcterms:W3CDTF">2025-09-26T15:22:00Z</dcterms:created>
  <dcterms:modified xsi:type="dcterms:W3CDTF">2025-09-26T15:22:00Z</dcterms:modified>
</cp:coreProperties>
</file>